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EA3" w:rsidRPr="00F311EF" w:rsidRDefault="00622EA3" w:rsidP="00622EA3">
      <w:pPr>
        <w:spacing w:line="480" w:lineRule="auto"/>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0E2618" w:rsidRPr="00F311EF" w:rsidRDefault="000E2618"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jc w:val="center"/>
        <w:rPr>
          <w:rFonts w:ascii="Times New Roman" w:hAnsi="Times New Roman" w:cs="Times New Roman"/>
          <w:sz w:val="24"/>
          <w:szCs w:val="24"/>
        </w:rPr>
      </w:pPr>
      <w:r w:rsidRPr="00F311EF">
        <w:rPr>
          <w:rFonts w:ascii="Times New Roman" w:hAnsi="Times New Roman" w:cs="Times New Roman"/>
          <w:sz w:val="24"/>
          <w:szCs w:val="24"/>
        </w:rPr>
        <w:t>Anthropological Approaches</w:t>
      </w:r>
    </w:p>
    <w:p w:rsidR="00622EA3" w:rsidRPr="00F311EF" w:rsidRDefault="00622EA3" w:rsidP="00622EA3">
      <w:pPr>
        <w:spacing w:line="480" w:lineRule="auto"/>
        <w:ind w:firstLine="720"/>
        <w:jc w:val="center"/>
        <w:rPr>
          <w:rFonts w:ascii="Times New Roman" w:hAnsi="Times New Roman" w:cs="Times New Roman"/>
          <w:sz w:val="24"/>
          <w:szCs w:val="24"/>
        </w:rPr>
      </w:pPr>
      <w:r w:rsidRPr="00F311EF">
        <w:rPr>
          <w:rFonts w:ascii="Times New Roman" w:hAnsi="Times New Roman" w:cs="Times New Roman"/>
          <w:sz w:val="24"/>
          <w:szCs w:val="24"/>
        </w:rPr>
        <w:t>Student’s Name</w:t>
      </w:r>
    </w:p>
    <w:p w:rsidR="00622EA3" w:rsidRPr="00F311EF" w:rsidRDefault="00622EA3" w:rsidP="00622EA3">
      <w:pPr>
        <w:spacing w:line="480" w:lineRule="auto"/>
        <w:ind w:firstLine="720"/>
        <w:jc w:val="center"/>
        <w:rPr>
          <w:rFonts w:ascii="Times New Roman" w:hAnsi="Times New Roman" w:cs="Times New Roman"/>
          <w:sz w:val="24"/>
          <w:szCs w:val="24"/>
        </w:rPr>
      </w:pPr>
      <w:r w:rsidRPr="00F311EF">
        <w:rPr>
          <w:rFonts w:ascii="Times New Roman" w:hAnsi="Times New Roman" w:cs="Times New Roman"/>
          <w:sz w:val="24"/>
          <w:szCs w:val="24"/>
        </w:rPr>
        <w:t>Institutional Affiliation</w:t>
      </w:r>
    </w:p>
    <w:p w:rsidR="00622EA3" w:rsidRPr="00F311EF" w:rsidRDefault="00622EA3" w:rsidP="00622EA3">
      <w:pPr>
        <w:spacing w:line="480" w:lineRule="auto"/>
        <w:ind w:firstLine="720"/>
        <w:jc w:val="center"/>
        <w:rPr>
          <w:rFonts w:ascii="Times New Roman" w:hAnsi="Times New Roman" w:cs="Times New Roman"/>
          <w:sz w:val="24"/>
          <w:szCs w:val="24"/>
        </w:rPr>
      </w:pPr>
      <w:r w:rsidRPr="00F311EF">
        <w:rPr>
          <w:rFonts w:ascii="Times New Roman" w:hAnsi="Times New Roman" w:cs="Times New Roman"/>
          <w:sz w:val="24"/>
          <w:szCs w:val="24"/>
        </w:rPr>
        <w:t>Date</w:t>
      </w: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ind w:firstLine="720"/>
        <w:rPr>
          <w:rFonts w:ascii="Times New Roman" w:hAnsi="Times New Roman" w:cs="Times New Roman"/>
          <w:sz w:val="24"/>
          <w:szCs w:val="24"/>
        </w:rPr>
      </w:pPr>
    </w:p>
    <w:p w:rsidR="00622EA3" w:rsidRPr="00F311EF" w:rsidRDefault="00622EA3" w:rsidP="00622EA3">
      <w:pPr>
        <w:spacing w:line="480" w:lineRule="auto"/>
        <w:rPr>
          <w:rFonts w:ascii="Times New Roman" w:hAnsi="Times New Roman" w:cs="Times New Roman"/>
          <w:sz w:val="24"/>
          <w:szCs w:val="24"/>
        </w:rPr>
      </w:pPr>
    </w:p>
    <w:p w:rsidR="000E2618" w:rsidRPr="00F311EF" w:rsidRDefault="000E2618" w:rsidP="00622EA3">
      <w:pPr>
        <w:spacing w:line="480" w:lineRule="auto"/>
        <w:rPr>
          <w:rFonts w:ascii="Times New Roman" w:hAnsi="Times New Roman" w:cs="Times New Roman"/>
          <w:sz w:val="24"/>
          <w:szCs w:val="24"/>
        </w:rPr>
      </w:pPr>
    </w:p>
    <w:p w:rsidR="00622EA3" w:rsidRPr="00F311EF" w:rsidRDefault="00622EA3" w:rsidP="00622EA3">
      <w:pPr>
        <w:spacing w:line="480" w:lineRule="auto"/>
        <w:ind w:firstLine="720"/>
        <w:jc w:val="center"/>
        <w:rPr>
          <w:rFonts w:ascii="Times New Roman" w:hAnsi="Times New Roman" w:cs="Times New Roman"/>
          <w:b/>
          <w:sz w:val="24"/>
          <w:szCs w:val="24"/>
        </w:rPr>
      </w:pPr>
      <w:r w:rsidRPr="00F311EF">
        <w:rPr>
          <w:rFonts w:ascii="Times New Roman" w:hAnsi="Times New Roman" w:cs="Times New Roman"/>
          <w:b/>
          <w:sz w:val="24"/>
          <w:szCs w:val="24"/>
        </w:rPr>
        <w:lastRenderedPageBreak/>
        <w:t>Anthropological Approaches</w:t>
      </w:r>
      <w:r w:rsidRPr="00F311EF">
        <w:rPr>
          <w:rFonts w:ascii="Times New Roman" w:hAnsi="Times New Roman" w:cs="Times New Roman"/>
          <w:b/>
          <w:sz w:val="24"/>
          <w:szCs w:val="24"/>
        </w:rPr>
        <w:t xml:space="preserve"> to Cultural Analysis</w:t>
      </w:r>
    </w:p>
    <w:p w:rsidR="00622EA3" w:rsidRPr="00F311EF" w:rsidRDefault="00622EA3" w:rsidP="00622EA3">
      <w:pPr>
        <w:spacing w:line="480" w:lineRule="auto"/>
        <w:ind w:firstLine="720"/>
        <w:rPr>
          <w:rFonts w:ascii="Times New Roman" w:hAnsi="Times New Roman" w:cs="Times New Roman"/>
          <w:sz w:val="24"/>
          <w:szCs w:val="24"/>
        </w:rPr>
      </w:pPr>
      <w:r w:rsidRPr="00F311EF">
        <w:rPr>
          <w:rFonts w:ascii="Times New Roman" w:hAnsi="Times New Roman" w:cs="Times New Roman"/>
          <w:sz w:val="24"/>
          <w:szCs w:val="24"/>
        </w:rPr>
        <w:t>Cultural analysis entails the study of elements of different social groups using a systematic anthropological approach. The approaches vary depending on the specific aspect of analysis to define a culture. The paper focuses on three anthropological approaches; educational, economic, and religious systems.</w:t>
      </w:r>
    </w:p>
    <w:p w:rsidR="00622EA3" w:rsidRPr="00F311EF" w:rsidRDefault="00622EA3" w:rsidP="00622EA3">
      <w:pPr>
        <w:spacing w:line="480" w:lineRule="auto"/>
        <w:rPr>
          <w:rFonts w:ascii="Times New Roman" w:hAnsi="Times New Roman" w:cs="Times New Roman"/>
          <w:b/>
          <w:sz w:val="24"/>
          <w:szCs w:val="24"/>
        </w:rPr>
      </w:pPr>
      <w:r w:rsidRPr="00F311EF">
        <w:rPr>
          <w:rFonts w:ascii="Times New Roman" w:hAnsi="Times New Roman" w:cs="Times New Roman"/>
          <w:b/>
          <w:sz w:val="24"/>
          <w:szCs w:val="24"/>
        </w:rPr>
        <w:t>Educational System</w:t>
      </w:r>
    </w:p>
    <w:p w:rsidR="00622EA3" w:rsidRPr="00F311EF" w:rsidRDefault="00622EA3" w:rsidP="00622EA3">
      <w:pPr>
        <w:spacing w:line="480" w:lineRule="auto"/>
        <w:ind w:firstLine="720"/>
        <w:rPr>
          <w:rFonts w:ascii="Times New Roman" w:hAnsi="Times New Roman" w:cs="Times New Roman"/>
          <w:sz w:val="24"/>
          <w:szCs w:val="24"/>
        </w:rPr>
      </w:pPr>
      <w:r w:rsidRPr="00F311EF">
        <w:rPr>
          <w:rFonts w:ascii="Times New Roman" w:hAnsi="Times New Roman" w:cs="Times New Roman"/>
          <w:sz w:val="24"/>
          <w:szCs w:val="24"/>
        </w:rPr>
        <w:t>The education</w:t>
      </w:r>
      <w:r w:rsidRPr="00F311EF">
        <w:rPr>
          <w:rFonts w:ascii="Times New Roman" w:hAnsi="Times New Roman" w:cs="Times New Roman"/>
          <w:sz w:val="24"/>
          <w:szCs w:val="24"/>
        </w:rPr>
        <w:t>al</w:t>
      </w:r>
      <w:r w:rsidRPr="00F311EF">
        <w:rPr>
          <w:rFonts w:ascii="Times New Roman" w:hAnsi="Times New Roman" w:cs="Times New Roman"/>
          <w:sz w:val="24"/>
          <w:szCs w:val="24"/>
        </w:rPr>
        <w:t xml:space="preserve"> system as an approach entails passing information to the new members of the culture. The type of education used to teach may either be formal or informal based on culture. New members of society depend on the elders to learn the ways of life, such as skills and values. The education system as an approach is essential because it ensures that all members get an opportunity to learn cultural ways. The effectiveness of cultural analysis using the education system is high as one acquires information and skills that can be passed quickly to the next cultural generation</w:t>
      </w:r>
      <w:r w:rsidR="004810A6" w:rsidRPr="00F311EF">
        <w:rPr>
          <w:rFonts w:ascii="Times New Roman" w:hAnsi="Times New Roman" w:cs="Times New Roman"/>
          <w:sz w:val="24"/>
          <w:szCs w:val="24"/>
        </w:rPr>
        <w:t xml:space="preserve"> (</w:t>
      </w:r>
      <w:r w:rsidR="004810A6" w:rsidRPr="00F311EF">
        <w:rPr>
          <w:rFonts w:ascii="Times New Roman" w:hAnsi="Times New Roman" w:cs="Times New Roman"/>
          <w:sz w:val="24"/>
          <w:szCs w:val="24"/>
          <w:shd w:val="clear" w:color="auto" w:fill="FFFFFF"/>
        </w:rPr>
        <w:t>Niezen</w:t>
      </w:r>
      <w:r w:rsidR="004810A6" w:rsidRPr="00F311EF">
        <w:rPr>
          <w:rFonts w:ascii="Times New Roman" w:hAnsi="Times New Roman" w:cs="Times New Roman"/>
          <w:sz w:val="24"/>
          <w:szCs w:val="24"/>
          <w:shd w:val="clear" w:color="auto" w:fill="FFFFFF"/>
        </w:rPr>
        <w:t>, 2018)</w:t>
      </w:r>
      <w:r w:rsidRPr="00F311EF">
        <w:rPr>
          <w:rFonts w:ascii="Times New Roman" w:hAnsi="Times New Roman" w:cs="Times New Roman"/>
          <w:sz w:val="24"/>
          <w:szCs w:val="24"/>
        </w:rPr>
        <w:t>.  The approach allows the anthropologist to learn the significance skills and values as a unique feature in cultural analysis.</w:t>
      </w:r>
    </w:p>
    <w:p w:rsidR="00622EA3" w:rsidRPr="00F311EF" w:rsidRDefault="00622EA3" w:rsidP="00622EA3">
      <w:pPr>
        <w:spacing w:line="480" w:lineRule="auto"/>
        <w:rPr>
          <w:rFonts w:ascii="Times New Roman" w:hAnsi="Times New Roman" w:cs="Times New Roman"/>
          <w:b/>
          <w:sz w:val="24"/>
          <w:szCs w:val="24"/>
        </w:rPr>
      </w:pPr>
      <w:r w:rsidRPr="00F311EF">
        <w:rPr>
          <w:rFonts w:ascii="Times New Roman" w:hAnsi="Times New Roman" w:cs="Times New Roman"/>
          <w:b/>
          <w:sz w:val="24"/>
          <w:szCs w:val="24"/>
        </w:rPr>
        <w:t>Economic System</w:t>
      </w:r>
    </w:p>
    <w:p w:rsidR="00622EA3" w:rsidRPr="00F311EF" w:rsidRDefault="00622EA3" w:rsidP="00622EA3">
      <w:pPr>
        <w:spacing w:line="480" w:lineRule="auto"/>
        <w:ind w:firstLine="720"/>
        <w:rPr>
          <w:rFonts w:ascii="Times New Roman" w:hAnsi="Times New Roman" w:cs="Times New Roman"/>
          <w:sz w:val="24"/>
          <w:szCs w:val="24"/>
        </w:rPr>
      </w:pPr>
      <w:r w:rsidRPr="00F311EF">
        <w:rPr>
          <w:rFonts w:ascii="Times New Roman" w:hAnsi="Times New Roman" w:cs="Times New Roman"/>
          <w:sz w:val="24"/>
          <w:szCs w:val="24"/>
        </w:rPr>
        <w:t>Anthropologists use the economic trend of a group to learn a culture based on the goods and services distributed. The economic system as an approach focuses on how people produce products and distribute them to potential consumers. An economic system is an essential approach because it allows one to understand cultural changes resulting from globalization. The exchange of goods and services lists as the main resultant to international interactions that enrich a culture</w:t>
      </w:r>
      <w:r w:rsidR="004810A6" w:rsidRPr="00F311EF">
        <w:rPr>
          <w:rFonts w:ascii="Times New Roman" w:hAnsi="Times New Roman" w:cs="Times New Roman"/>
          <w:sz w:val="24"/>
          <w:szCs w:val="24"/>
        </w:rPr>
        <w:t xml:space="preserve"> (</w:t>
      </w:r>
      <w:r w:rsidR="004810A6" w:rsidRPr="00F311EF">
        <w:rPr>
          <w:rFonts w:ascii="Times New Roman" w:hAnsi="Times New Roman" w:cs="Times New Roman"/>
          <w:sz w:val="24"/>
          <w:szCs w:val="24"/>
          <w:shd w:val="clear" w:color="auto" w:fill="FFFFFF"/>
        </w:rPr>
        <w:t>Saravia-Shore</w:t>
      </w:r>
      <w:r w:rsidR="004810A6" w:rsidRPr="00F311EF">
        <w:rPr>
          <w:rFonts w:ascii="Times New Roman" w:hAnsi="Times New Roman" w:cs="Times New Roman"/>
          <w:sz w:val="24"/>
          <w:szCs w:val="24"/>
          <w:shd w:val="clear" w:color="auto" w:fill="FFFFFF"/>
        </w:rPr>
        <w:t xml:space="preserve"> &amp; Arvizu</w:t>
      </w:r>
      <w:r w:rsidR="004810A6" w:rsidRPr="00F311EF">
        <w:rPr>
          <w:rFonts w:ascii="Times New Roman" w:hAnsi="Times New Roman" w:cs="Times New Roman"/>
          <w:sz w:val="24"/>
          <w:szCs w:val="24"/>
          <w:shd w:val="clear" w:color="auto" w:fill="FFFFFF"/>
        </w:rPr>
        <w:t>, 2017)</w:t>
      </w:r>
      <w:r w:rsidRPr="00F311EF">
        <w:rPr>
          <w:rFonts w:ascii="Times New Roman" w:hAnsi="Times New Roman" w:cs="Times New Roman"/>
          <w:sz w:val="24"/>
          <w:szCs w:val="24"/>
        </w:rPr>
        <w:t xml:space="preserve">. Cultural enrichment is a significant element of analysis that results from economic interactions. </w:t>
      </w:r>
    </w:p>
    <w:p w:rsidR="00622EA3" w:rsidRPr="00F311EF" w:rsidRDefault="00622EA3" w:rsidP="00622EA3">
      <w:pPr>
        <w:spacing w:line="480" w:lineRule="auto"/>
        <w:rPr>
          <w:rFonts w:ascii="Times New Roman" w:hAnsi="Times New Roman" w:cs="Times New Roman"/>
          <w:b/>
          <w:sz w:val="24"/>
          <w:szCs w:val="24"/>
        </w:rPr>
      </w:pPr>
      <w:r w:rsidRPr="00F311EF">
        <w:rPr>
          <w:rFonts w:ascii="Times New Roman" w:hAnsi="Times New Roman" w:cs="Times New Roman"/>
          <w:b/>
          <w:sz w:val="24"/>
          <w:szCs w:val="24"/>
        </w:rPr>
        <w:lastRenderedPageBreak/>
        <w:t>Religious System</w:t>
      </w:r>
    </w:p>
    <w:p w:rsidR="00622EA3" w:rsidRPr="00F311EF" w:rsidRDefault="00622EA3" w:rsidP="00622EA3">
      <w:pPr>
        <w:spacing w:line="480" w:lineRule="auto"/>
        <w:ind w:firstLine="720"/>
        <w:rPr>
          <w:rFonts w:ascii="Times New Roman" w:hAnsi="Times New Roman" w:cs="Times New Roman"/>
          <w:sz w:val="24"/>
          <w:szCs w:val="24"/>
        </w:rPr>
      </w:pPr>
      <w:r w:rsidRPr="00F311EF">
        <w:rPr>
          <w:rFonts w:ascii="Times New Roman" w:hAnsi="Times New Roman" w:cs="Times New Roman"/>
          <w:sz w:val="24"/>
          <w:szCs w:val="24"/>
        </w:rPr>
        <w:t>The religious system entails providing explanations to the spiritual practices of people that describes an opinion beyond the material life. Religion gives a distinction between related cultural groups due to the freedom to believe in any supernatural power. Religion system is an essential approach because anthropologists understand the aspects of a culture beyond the physical practices. Spiritual matters have proved beneficial to some cultures, such as the pyramids of Egypt that draw a line of significance</w:t>
      </w:r>
      <w:r w:rsidR="004810A6" w:rsidRPr="00F311EF">
        <w:rPr>
          <w:rFonts w:ascii="Times New Roman" w:hAnsi="Times New Roman" w:cs="Times New Roman"/>
          <w:sz w:val="24"/>
          <w:szCs w:val="24"/>
        </w:rPr>
        <w:t xml:space="preserve"> </w:t>
      </w:r>
      <w:r w:rsidR="004810A6" w:rsidRPr="00F311EF">
        <w:rPr>
          <w:rFonts w:ascii="Times New Roman" w:hAnsi="Times New Roman" w:cs="Times New Roman"/>
          <w:sz w:val="24"/>
          <w:szCs w:val="24"/>
          <w:shd w:val="clear" w:color="auto" w:fill="FFFFFF"/>
        </w:rPr>
        <w:t>(</w:t>
      </w:r>
      <w:r w:rsidR="004810A6" w:rsidRPr="00F311EF">
        <w:rPr>
          <w:rFonts w:ascii="Times New Roman" w:hAnsi="Times New Roman" w:cs="Times New Roman"/>
          <w:sz w:val="24"/>
          <w:szCs w:val="24"/>
          <w:shd w:val="clear" w:color="auto" w:fill="FFFFFF"/>
        </w:rPr>
        <w:t>Coombe</w:t>
      </w:r>
      <w:r w:rsidR="004810A6" w:rsidRPr="00F311EF">
        <w:rPr>
          <w:rFonts w:ascii="Times New Roman" w:hAnsi="Times New Roman" w:cs="Times New Roman"/>
          <w:sz w:val="24"/>
          <w:szCs w:val="24"/>
          <w:shd w:val="clear" w:color="auto" w:fill="FFFFFF"/>
        </w:rPr>
        <w:t>, 2017)</w:t>
      </w:r>
      <w:r w:rsidRPr="00F311EF">
        <w:rPr>
          <w:rFonts w:ascii="Times New Roman" w:hAnsi="Times New Roman" w:cs="Times New Roman"/>
          <w:sz w:val="24"/>
          <w:szCs w:val="24"/>
        </w:rPr>
        <w:t xml:space="preserve">. Religion list as one of the unifying factors because different cultures share a common supernatural belief. </w:t>
      </w:r>
    </w:p>
    <w:p w:rsidR="00622EA3" w:rsidRPr="00F311EF" w:rsidRDefault="00622EA3" w:rsidP="00622EA3">
      <w:pPr>
        <w:spacing w:line="480" w:lineRule="auto"/>
        <w:rPr>
          <w:rFonts w:ascii="Times New Roman" w:hAnsi="Times New Roman" w:cs="Times New Roman"/>
          <w:b/>
          <w:sz w:val="24"/>
          <w:szCs w:val="24"/>
        </w:rPr>
      </w:pPr>
      <w:r w:rsidRPr="00F311EF">
        <w:rPr>
          <w:rFonts w:ascii="Times New Roman" w:hAnsi="Times New Roman" w:cs="Times New Roman"/>
          <w:b/>
          <w:sz w:val="24"/>
          <w:szCs w:val="24"/>
        </w:rPr>
        <w:t>Conclusion</w:t>
      </w:r>
    </w:p>
    <w:p w:rsidR="00622EA3" w:rsidRPr="00F311EF" w:rsidRDefault="00622EA3" w:rsidP="00622EA3">
      <w:pPr>
        <w:spacing w:line="480" w:lineRule="auto"/>
        <w:ind w:firstLine="720"/>
        <w:rPr>
          <w:rFonts w:ascii="Times New Roman" w:hAnsi="Times New Roman" w:cs="Times New Roman"/>
          <w:sz w:val="24"/>
          <w:szCs w:val="24"/>
        </w:rPr>
      </w:pPr>
      <w:r w:rsidRPr="00F311EF">
        <w:rPr>
          <w:rFonts w:ascii="Times New Roman" w:hAnsi="Times New Roman" w:cs="Times New Roman"/>
          <w:sz w:val="24"/>
          <w:szCs w:val="24"/>
        </w:rPr>
        <w:t>Cultural analysis entails the study of different aspects that define the ways of life in a particular group of people. Some of the main anthropological approaches employed in cultural analysis are education</w:t>
      </w:r>
      <w:r w:rsidRPr="00F311EF">
        <w:rPr>
          <w:rFonts w:ascii="Times New Roman" w:hAnsi="Times New Roman" w:cs="Times New Roman"/>
          <w:sz w:val="24"/>
          <w:szCs w:val="24"/>
        </w:rPr>
        <w:t>al, religious</w:t>
      </w:r>
      <w:r w:rsidRPr="00F311EF">
        <w:rPr>
          <w:rFonts w:ascii="Times New Roman" w:hAnsi="Times New Roman" w:cs="Times New Roman"/>
          <w:sz w:val="24"/>
          <w:szCs w:val="24"/>
        </w:rPr>
        <w:t>, and economic system. The three approaches are essential as they offer a wide range of knowledge, such as spiritual significance. Anthropologists use the approaches to evaluate the importance of each cultural practice in a group of people.</w:t>
      </w:r>
    </w:p>
    <w:p w:rsidR="00622EA3" w:rsidRPr="00F311EF" w:rsidRDefault="00622EA3" w:rsidP="00622EA3">
      <w:pPr>
        <w:spacing w:line="480" w:lineRule="auto"/>
        <w:rPr>
          <w:rFonts w:ascii="Times New Roman" w:hAnsi="Times New Roman" w:cs="Times New Roman"/>
          <w:b/>
          <w:sz w:val="24"/>
          <w:szCs w:val="24"/>
        </w:rPr>
      </w:pPr>
      <w:r w:rsidRPr="00F311EF">
        <w:rPr>
          <w:rFonts w:ascii="Times New Roman" w:hAnsi="Times New Roman" w:cs="Times New Roman"/>
          <w:b/>
          <w:sz w:val="24"/>
          <w:szCs w:val="24"/>
        </w:rPr>
        <w:t>Lessons Learned</w:t>
      </w:r>
    </w:p>
    <w:p w:rsidR="00846F53" w:rsidRPr="00F311EF" w:rsidRDefault="00622EA3" w:rsidP="00622EA3">
      <w:pPr>
        <w:spacing w:line="480" w:lineRule="auto"/>
        <w:ind w:firstLine="720"/>
        <w:rPr>
          <w:rFonts w:ascii="Times New Roman" w:hAnsi="Times New Roman" w:cs="Times New Roman"/>
          <w:sz w:val="24"/>
          <w:szCs w:val="24"/>
        </w:rPr>
      </w:pPr>
      <w:r w:rsidRPr="00F311EF">
        <w:rPr>
          <w:rFonts w:ascii="Times New Roman" w:hAnsi="Times New Roman" w:cs="Times New Roman"/>
          <w:sz w:val="24"/>
          <w:szCs w:val="24"/>
        </w:rPr>
        <w:t>Some of the lessons learned from the weeks' readings are the significance of cultural practices and differences in economic development. The global business originated from the social practices of people as outlined using the economic systems. The last lesson is that cultural differences enrich the economic, social, and religious of people around the globe</w:t>
      </w:r>
      <w:r w:rsidR="00C13982">
        <w:rPr>
          <w:rFonts w:ascii="Times New Roman" w:hAnsi="Times New Roman" w:cs="Times New Roman"/>
          <w:sz w:val="24"/>
          <w:szCs w:val="24"/>
        </w:rPr>
        <w:t xml:space="preserve"> </w:t>
      </w:r>
      <w:r w:rsidR="00C13982" w:rsidRPr="00F311EF">
        <w:rPr>
          <w:rFonts w:ascii="Times New Roman" w:hAnsi="Times New Roman" w:cs="Times New Roman"/>
          <w:sz w:val="24"/>
          <w:szCs w:val="24"/>
        </w:rPr>
        <w:t>(</w:t>
      </w:r>
      <w:r w:rsidR="00C13982" w:rsidRPr="00F311EF">
        <w:rPr>
          <w:rFonts w:ascii="Times New Roman" w:hAnsi="Times New Roman" w:cs="Times New Roman"/>
          <w:sz w:val="24"/>
          <w:szCs w:val="24"/>
          <w:shd w:val="clear" w:color="auto" w:fill="FFFFFF"/>
        </w:rPr>
        <w:t>Saravia-Shore &amp; Arvizu, 2017)</w:t>
      </w:r>
      <w:r w:rsidRPr="00F311EF">
        <w:rPr>
          <w:rFonts w:ascii="Times New Roman" w:hAnsi="Times New Roman" w:cs="Times New Roman"/>
          <w:sz w:val="24"/>
          <w:szCs w:val="24"/>
        </w:rPr>
        <w:t xml:space="preserve">.  </w:t>
      </w:r>
    </w:p>
    <w:p w:rsidR="00622EA3" w:rsidRPr="00F311EF" w:rsidRDefault="00622EA3" w:rsidP="006247B7">
      <w:pPr>
        <w:spacing w:line="480" w:lineRule="auto"/>
        <w:rPr>
          <w:rFonts w:ascii="Times New Roman" w:hAnsi="Times New Roman" w:cs="Times New Roman"/>
          <w:sz w:val="24"/>
          <w:szCs w:val="24"/>
        </w:rPr>
      </w:pPr>
      <w:bookmarkStart w:id="0" w:name="_GoBack"/>
      <w:bookmarkEnd w:id="0"/>
    </w:p>
    <w:p w:rsidR="00622EA3" w:rsidRPr="00F311EF" w:rsidRDefault="00622EA3" w:rsidP="000E2618">
      <w:pPr>
        <w:spacing w:line="480" w:lineRule="auto"/>
        <w:rPr>
          <w:rFonts w:ascii="Times New Roman" w:hAnsi="Times New Roman" w:cs="Times New Roman"/>
          <w:b/>
          <w:sz w:val="24"/>
          <w:szCs w:val="24"/>
        </w:rPr>
      </w:pPr>
      <w:r w:rsidRPr="00F311EF">
        <w:rPr>
          <w:rFonts w:ascii="Times New Roman" w:hAnsi="Times New Roman" w:cs="Times New Roman"/>
          <w:b/>
          <w:sz w:val="24"/>
          <w:szCs w:val="24"/>
        </w:rPr>
        <w:lastRenderedPageBreak/>
        <w:t>References</w:t>
      </w:r>
    </w:p>
    <w:p w:rsidR="00622EA3" w:rsidRPr="00F311EF" w:rsidRDefault="004810A6" w:rsidP="004810A6">
      <w:pPr>
        <w:spacing w:line="480" w:lineRule="auto"/>
        <w:ind w:left="720" w:hanging="720"/>
        <w:rPr>
          <w:rFonts w:ascii="Times New Roman" w:hAnsi="Times New Roman" w:cs="Times New Roman"/>
          <w:sz w:val="24"/>
          <w:szCs w:val="24"/>
          <w:shd w:val="clear" w:color="auto" w:fill="FFFFFF"/>
        </w:rPr>
      </w:pPr>
      <w:r w:rsidRPr="00F311EF">
        <w:rPr>
          <w:rFonts w:ascii="Times New Roman" w:hAnsi="Times New Roman" w:cs="Times New Roman"/>
          <w:sz w:val="24"/>
          <w:szCs w:val="24"/>
          <w:shd w:val="clear" w:color="auto" w:fill="FFFFFF"/>
        </w:rPr>
        <w:t>Coombe, R. J. (2017). The cultural life of things: anthropological approaches to law and society in conditions of globalization. In </w:t>
      </w:r>
      <w:r w:rsidRPr="00F311EF">
        <w:rPr>
          <w:rFonts w:ascii="Times New Roman" w:hAnsi="Times New Roman" w:cs="Times New Roman"/>
          <w:i/>
          <w:iCs/>
          <w:sz w:val="24"/>
          <w:szCs w:val="24"/>
          <w:shd w:val="clear" w:color="auto" w:fill="FFFFFF"/>
        </w:rPr>
        <w:t>Globalization and Intellectual Property</w:t>
      </w:r>
      <w:r w:rsidRPr="00F311EF">
        <w:rPr>
          <w:rFonts w:ascii="Times New Roman" w:hAnsi="Times New Roman" w:cs="Times New Roman"/>
          <w:sz w:val="24"/>
          <w:szCs w:val="24"/>
          <w:shd w:val="clear" w:color="auto" w:fill="FFFFFF"/>
        </w:rPr>
        <w:t> (pp. 533-577). Routledge.</w:t>
      </w:r>
    </w:p>
    <w:p w:rsidR="004810A6" w:rsidRPr="00F311EF" w:rsidRDefault="004810A6" w:rsidP="004810A6">
      <w:pPr>
        <w:spacing w:line="480" w:lineRule="auto"/>
        <w:ind w:left="720" w:hanging="720"/>
        <w:rPr>
          <w:rFonts w:ascii="Times New Roman" w:hAnsi="Times New Roman" w:cs="Times New Roman"/>
          <w:sz w:val="24"/>
          <w:szCs w:val="24"/>
          <w:shd w:val="clear" w:color="auto" w:fill="FFFFFF"/>
        </w:rPr>
      </w:pPr>
      <w:r w:rsidRPr="00F311EF">
        <w:rPr>
          <w:rFonts w:ascii="Times New Roman" w:hAnsi="Times New Roman" w:cs="Times New Roman"/>
          <w:sz w:val="24"/>
          <w:szCs w:val="24"/>
          <w:shd w:val="clear" w:color="auto" w:fill="FFFFFF"/>
        </w:rPr>
        <w:t>Niezen, R. (2018). Power, Anthropological Approaches to. </w:t>
      </w:r>
      <w:r w:rsidRPr="00F311EF">
        <w:rPr>
          <w:rFonts w:ascii="Times New Roman" w:hAnsi="Times New Roman" w:cs="Times New Roman"/>
          <w:i/>
          <w:iCs/>
          <w:sz w:val="24"/>
          <w:szCs w:val="24"/>
          <w:shd w:val="clear" w:color="auto" w:fill="FFFFFF"/>
        </w:rPr>
        <w:t>The International Encyclopedia of Anthropology</w:t>
      </w:r>
      <w:r w:rsidRPr="00F311EF">
        <w:rPr>
          <w:rFonts w:ascii="Times New Roman" w:hAnsi="Times New Roman" w:cs="Times New Roman"/>
          <w:sz w:val="24"/>
          <w:szCs w:val="24"/>
          <w:shd w:val="clear" w:color="auto" w:fill="FFFFFF"/>
        </w:rPr>
        <w:t>, 1-10.</w:t>
      </w:r>
    </w:p>
    <w:p w:rsidR="001862F9" w:rsidRDefault="004810A6" w:rsidP="001862F9">
      <w:pPr>
        <w:spacing w:line="480" w:lineRule="auto"/>
        <w:ind w:left="720" w:hanging="720"/>
        <w:rPr>
          <w:rFonts w:ascii="Times New Roman" w:hAnsi="Times New Roman" w:cs="Times New Roman"/>
          <w:sz w:val="24"/>
          <w:szCs w:val="24"/>
          <w:shd w:val="clear" w:color="auto" w:fill="FFFFFF"/>
        </w:rPr>
      </w:pPr>
      <w:r w:rsidRPr="00F311EF">
        <w:rPr>
          <w:rFonts w:ascii="Times New Roman" w:hAnsi="Times New Roman" w:cs="Times New Roman"/>
          <w:sz w:val="24"/>
          <w:szCs w:val="24"/>
          <w:shd w:val="clear" w:color="auto" w:fill="FFFFFF"/>
          <w:lang w:val="it-IT"/>
        </w:rPr>
        <w:t xml:space="preserve">Saravia-Shore, M., &amp; Arvizu, S. F. (2017). </w:t>
      </w:r>
      <w:r w:rsidRPr="00F311EF">
        <w:rPr>
          <w:rFonts w:ascii="Times New Roman" w:hAnsi="Times New Roman" w:cs="Times New Roman"/>
          <w:sz w:val="24"/>
          <w:szCs w:val="24"/>
          <w:shd w:val="clear" w:color="auto" w:fill="FFFFFF"/>
        </w:rPr>
        <w:t>Cross-cultural literacy: An anthropological approach to dealing with diversity. In </w:t>
      </w:r>
      <w:r w:rsidRPr="00F311EF">
        <w:rPr>
          <w:rFonts w:ascii="Times New Roman" w:hAnsi="Times New Roman" w:cs="Times New Roman"/>
          <w:i/>
          <w:iCs/>
          <w:sz w:val="24"/>
          <w:szCs w:val="24"/>
          <w:shd w:val="clear" w:color="auto" w:fill="FFFFFF"/>
        </w:rPr>
        <w:t>Cross-cultural Literacy</w:t>
      </w:r>
      <w:r w:rsidRPr="00F311EF">
        <w:rPr>
          <w:rFonts w:ascii="Times New Roman" w:hAnsi="Times New Roman" w:cs="Times New Roman"/>
          <w:sz w:val="24"/>
          <w:szCs w:val="24"/>
          <w:shd w:val="clear" w:color="auto" w:fill="FFFFFF"/>
        </w:rPr>
        <w:t> (pp. xv-xxxviii). Routledge</w:t>
      </w:r>
    </w:p>
    <w:p w:rsidR="001862F9" w:rsidRPr="001862F9" w:rsidRDefault="001862F9" w:rsidP="001862F9">
      <w:pPr>
        <w:spacing w:line="480" w:lineRule="auto"/>
        <w:ind w:left="720" w:hanging="720"/>
        <w:rPr>
          <w:rFonts w:ascii="Times New Roman" w:hAnsi="Times New Roman" w:cs="Times New Roman"/>
          <w:b/>
          <w:sz w:val="24"/>
          <w:szCs w:val="24"/>
          <w:shd w:val="clear" w:color="auto" w:fill="FFFFFF"/>
        </w:rPr>
      </w:pPr>
      <w:r w:rsidRPr="001862F9">
        <w:rPr>
          <w:rFonts w:ascii="Times New Roman" w:hAnsi="Times New Roman" w:cs="Times New Roman"/>
          <w:b/>
          <w:sz w:val="24"/>
          <w:szCs w:val="24"/>
          <w:shd w:val="clear" w:color="auto" w:fill="FFFFFF"/>
        </w:rPr>
        <w:t>Word Count</w:t>
      </w:r>
      <w:r>
        <w:rPr>
          <w:rFonts w:ascii="Times New Roman" w:hAnsi="Times New Roman" w:cs="Times New Roman"/>
          <w:b/>
          <w:sz w:val="24"/>
          <w:szCs w:val="24"/>
          <w:shd w:val="clear" w:color="auto" w:fill="FFFFFF"/>
        </w:rPr>
        <w:t xml:space="preserve">: </w:t>
      </w:r>
      <w:r w:rsidRPr="001862F9">
        <w:rPr>
          <w:rFonts w:ascii="Times New Roman" w:hAnsi="Times New Roman" w:cs="Times New Roman"/>
          <w:sz w:val="24"/>
          <w:szCs w:val="24"/>
          <w:shd w:val="clear" w:color="auto" w:fill="FFFFFF"/>
        </w:rPr>
        <w:t>478</w:t>
      </w:r>
    </w:p>
    <w:sectPr w:rsidR="001862F9" w:rsidRPr="001862F9" w:rsidSect="00622E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EA3" w:rsidRDefault="00622EA3" w:rsidP="00622EA3">
      <w:pPr>
        <w:spacing w:after="0" w:line="240" w:lineRule="auto"/>
      </w:pPr>
      <w:r>
        <w:separator/>
      </w:r>
    </w:p>
  </w:endnote>
  <w:endnote w:type="continuationSeparator" w:id="0">
    <w:p w:rsidR="00622EA3" w:rsidRDefault="00622EA3" w:rsidP="00622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EA3" w:rsidRDefault="00622EA3" w:rsidP="00622EA3">
      <w:pPr>
        <w:spacing w:after="0" w:line="240" w:lineRule="auto"/>
      </w:pPr>
      <w:r>
        <w:separator/>
      </w:r>
    </w:p>
  </w:footnote>
  <w:footnote w:type="continuationSeparator" w:id="0">
    <w:p w:rsidR="00622EA3" w:rsidRDefault="00622EA3" w:rsidP="00622E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01319165"/>
      <w:docPartObj>
        <w:docPartGallery w:val="Page Numbers (Top of Page)"/>
        <w:docPartUnique/>
      </w:docPartObj>
    </w:sdtPr>
    <w:sdtEndPr>
      <w:rPr>
        <w:noProof/>
      </w:rPr>
    </w:sdtEndPr>
    <w:sdtContent>
      <w:p w:rsidR="00622EA3" w:rsidRPr="00622EA3" w:rsidRDefault="00622EA3">
        <w:pPr>
          <w:pStyle w:val="Header"/>
          <w:jc w:val="right"/>
          <w:rPr>
            <w:rFonts w:ascii="Times New Roman" w:hAnsi="Times New Roman" w:cs="Times New Roman"/>
            <w:sz w:val="24"/>
            <w:szCs w:val="24"/>
          </w:rPr>
        </w:pPr>
        <w:r w:rsidRPr="00622EA3">
          <w:rPr>
            <w:rFonts w:ascii="Times New Roman" w:hAnsi="Times New Roman" w:cs="Times New Roman"/>
            <w:sz w:val="24"/>
            <w:szCs w:val="24"/>
          </w:rPr>
          <w:t>ANTHROPOLOGICAL APPROACHES</w:t>
        </w:r>
        <w:r>
          <w:rPr>
            <w:rFonts w:ascii="Times New Roman" w:hAnsi="Times New Roman" w:cs="Times New Roman"/>
            <w:sz w:val="24"/>
            <w:szCs w:val="24"/>
          </w:rPr>
          <w:t xml:space="preserve">                                                                                      </w:t>
        </w:r>
        <w:r w:rsidRPr="00622EA3">
          <w:rPr>
            <w:rFonts w:ascii="Times New Roman" w:hAnsi="Times New Roman" w:cs="Times New Roman"/>
            <w:sz w:val="24"/>
            <w:szCs w:val="24"/>
          </w:rPr>
          <w:fldChar w:fldCharType="begin"/>
        </w:r>
        <w:r w:rsidRPr="00622EA3">
          <w:rPr>
            <w:rFonts w:ascii="Times New Roman" w:hAnsi="Times New Roman" w:cs="Times New Roman"/>
            <w:sz w:val="24"/>
            <w:szCs w:val="24"/>
          </w:rPr>
          <w:instrText xml:space="preserve"> PAGE   \* MERGEFORMAT </w:instrText>
        </w:r>
        <w:r w:rsidRPr="00622EA3">
          <w:rPr>
            <w:rFonts w:ascii="Times New Roman" w:hAnsi="Times New Roman" w:cs="Times New Roman"/>
            <w:sz w:val="24"/>
            <w:szCs w:val="24"/>
          </w:rPr>
          <w:fldChar w:fldCharType="separate"/>
        </w:r>
        <w:r w:rsidR="006247B7">
          <w:rPr>
            <w:rFonts w:ascii="Times New Roman" w:hAnsi="Times New Roman" w:cs="Times New Roman"/>
            <w:noProof/>
            <w:sz w:val="24"/>
            <w:szCs w:val="24"/>
          </w:rPr>
          <w:t>4</w:t>
        </w:r>
        <w:r w:rsidRPr="00622EA3">
          <w:rPr>
            <w:rFonts w:ascii="Times New Roman" w:hAnsi="Times New Roman" w:cs="Times New Roman"/>
            <w:noProof/>
            <w:sz w:val="24"/>
            <w:szCs w:val="24"/>
          </w:rPr>
          <w:fldChar w:fldCharType="end"/>
        </w:r>
      </w:p>
    </w:sdtContent>
  </w:sdt>
  <w:p w:rsidR="00622EA3" w:rsidRDefault="00622E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EA3" w:rsidRPr="00622EA3" w:rsidRDefault="00622EA3">
    <w:pPr>
      <w:pStyle w:val="Header"/>
      <w:rPr>
        <w:rFonts w:ascii="Times New Roman" w:hAnsi="Times New Roman" w:cs="Times New Roman"/>
        <w:sz w:val="24"/>
        <w:szCs w:val="24"/>
      </w:rPr>
    </w:pPr>
    <w:r w:rsidRPr="00622EA3">
      <w:rPr>
        <w:rFonts w:ascii="Times New Roman" w:hAnsi="Times New Roman" w:cs="Times New Roman"/>
        <w:sz w:val="24"/>
        <w:szCs w:val="24"/>
      </w:rPr>
      <w:t>Running head: ANTHROPOLOGICAL APPROACHES</w:t>
    </w:r>
    <w:r>
      <w:rPr>
        <w:rFonts w:ascii="Times New Roman" w:hAnsi="Times New Roman" w:cs="Times New Roman"/>
        <w:sz w:val="24"/>
        <w:szCs w:val="24"/>
      </w:rPr>
      <w:t xml:space="preserve">                                                              </w:t>
    </w:r>
    <w:r w:rsidRPr="00622EA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EE2"/>
    <w:rsid w:val="000374A0"/>
    <w:rsid w:val="00092DB9"/>
    <w:rsid w:val="000E2618"/>
    <w:rsid w:val="000F0E10"/>
    <w:rsid w:val="001862F9"/>
    <w:rsid w:val="00315902"/>
    <w:rsid w:val="004810A6"/>
    <w:rsid w:val="00521DA4"/>
    <w:rsid w:val="00622EA3"/>
    <w:rsid w:val="006247B7"/>
    <w:rsid w:val="00713C67"/>
    <w:rsid w:val="00846F53"/>
    <w:rsid w:val="00847883"/>
    <w:rsid w:val="00B65EE2"/>
    <w:rsid w:val="00C13982"/>
    <w:rsid w:val="00F311EF"/>
    <w:rsid w:val="00F41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3FB1"/>
  <w15:chartTrackingRefBased/>
  <w15:docId w15:val="{9CCA5020-8D04-4D6F-BE48-30DEA2907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EA3"/>
  </w:style>
  <w:style w:type="paragraph" w:styleId="Footer">
    <w:name w:val="footer"/>
    <w:basedOn w:val="Normal"/>
    <w:link w:val="FooterChar"/>
    <w:uiPriority w:val="99"/>
    <w:unhideWhenUsed/>
    <w:rsid w:val="00622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4</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2020-03-26T11:37:00Z</dcterms:created>
  <dcterms:modified xsi:type="dcterms:W3CDTF">2020-03-26T13:12:00Z</dcterms:modified>
</cp:coreProperties>
</file>